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Default="000B68EC" w:rsidP="00040C2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5823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23FB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5823FB">
        <w:rPr>
          <w:rFonts w:ascii="Times New Roman" w:hAnsi="Times New Roman" w:cs="Times New Roman"/>
          <w:color w:val="auto"/>
          <w:sz w:val="24"/>
          <w:szCs w:val="24"/>
        </w:rPr>
        <w:t>ЕнисейСетьСервис</w:t>
      </w:r>
      <w:proofErr w:type="spellEnd"/>
      <w:r w:rsidR="005823FB">
        <w:rPr>
          <w:rFonts w:ascii="Times New Roman" w:hAnsi="Times New Roman" w:cs="Times New Roman"/>
          <w:color w:val="auto"/>
          <w:sz w:val="24"/>
          <w:szCs w:val="24"/>
        </w:rPr>
        <w:t>» (ОО</w:t>
      </w:r>
      <w:proofErr w:type="gramStart"/>
      <w:r w:rsidR="005823FB">
        <w:rPr>
          <w:rFonts w:ascii="Times New Roman" w:hAnsi="Times New Roman" w:cs="Times New Roman"/>
          <w:color w:val="auto"/>
          <w:sz w:val="24"/>
          <w:szCs w:val="24"/>
        </w:rPr>
        <w:t>О»</w:t>
      </w:r>
      <w:proofErr w:type="gramEnd"/>
      <w:r w:rsidR="005823FB">
        <w:rPr>
          <w:rFonts w:ascii="Times New Roman" w:hAnsi="Times New Roman" w:cs="Times New Roman"/>
          <w:color w:val="auto"/>
          <w:sz w:val="24"/>
          <w:szCs w:val="24"/>
        </w:rPr>
        <w:t>ЕСС»)</w:t>
      </w:r>
    </w:p>
    <w:p w:rsidR="005823FB" w:rsidRPr="005823FB" w:rsidRDefault="005823FB" w:rsidP="005823FB"/>
    <w:p w:rsidR="007C5088" w:rsidRPr="000B68EC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435E8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="00806C7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B68EC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ПОСРЕДСТВОМ ПЕРЕРАСПРЕДЕЛЕНИЯ МАКСИМАЛЬНОЙ МОЩНОСТИ</w:t>
      </w:r>
      <w:r w:rsidR="0005033A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B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="000B68EC" w:rsidRPr="00970993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0B68EC" w:rsidRPr="00970993">
        <w:rPr>
          <w:rFonts w:ascii="Times New Roman" w:hAnsi="Times New Roman" w:cs="Times New Roman"/>
          <w:sz w:val="24"/>
          <w:szCs w:val="24"/>
        </w:rPr>
        <w:t xml:space="preserve">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4D27F4">
        <w:rPr>
          <w:rFonts w:ascii="Times New Roman" w:hAnsi="Times New Roman" w:cs="Times New Roman"/>
          <w:sz w:val="24"/>
          <w:szCs w:val="24"/>
        </w:rPr>
        <w:t>и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в области государс</w:t>
      </w:r>
      <w:r w:rsidR="004D27F4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857CA2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4D27F4">
        <w:rPr>
          <w:rFonts w:ascii="Times New Roman" w:hAnsi="Times New Roman" w:cs="Times New Roman"/>
          <w:sz w:val="24"/>
          <w:szCs w:val="24"/>
        </w:rPr>
        <w:t>.</w:t>
      </w:r>
      <w:r w:rsidR="00857CA2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B6111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8EC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r w:rsidR="005823FB" w:rsidRPr="000B68EC">
        <w:rPr>
          <w:rFonts w:ascii="Times New Roman" w:hAnsi="Times New Roman" w:cs="Times New Roman"/>
          <w:sz w:val="24"/>
          <w:szCs w:val="24"/>
        </w:rPr>
        <w:t>одного</w:t>
      </w:r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подстанции;</w:t>
      </w:r>
      <w:proofErr w:type="gramEnd"/>
    </w:p>
    <w:p w:rsidR="00B6111E" w:rsidRPr="000B68EC" w:rsidRDefault="005823FB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Заявители, в отношении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r w:rsidR="005823FB" w:rsidRPr="000B68EC">
        <w:rPr>
          <w:rFonts w:ascii="Times New Roman" w:hAnsi="Times New Roman" w:cs="Times New Roman"/>
          <w:sz w:val="24"/>
          <w:szCs w:val="24"/>
        </w:rPr>
        <w:t>коммунально</w:t>
      </w:r>
      <w:r w:rsidRPr="000B68EC">
        <w:rPr>
          <w:rFonts w:ascii="Times New Roman" w:hAnsi="Times New Roman" w:cs="Times New Roman"/>
          <w:sz w:val="24"/>
          <w:szCs w:val="24"/>
        </w:rPr>
        <w:t>-бытовая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0B68EC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5823FB" w:rsidRDefault="005823FB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3FB" w:rsidRDefault="005823FB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3FB" w:rsidRDefault="005823FB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23FB" w:rsidRPr="000B68EC" w:rsidRDefault="005823FB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0B68EC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B68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48" w:type="pct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C63ED8" w:rsidRPr="000B68EC" w:rsidTr="004D2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0B68EC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0B68EC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539EC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F539EC" w:rsidRPr="000B68EC" w:rsidRDefault="00F539EC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F539EC" w:rsidRPr="000B68EC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F539EC" w:rsidRPr="000B68EC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539EC" w:rsidRPr="000B68EC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0B68EC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F539EC" w:rsidRPr="000B68EC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0B68EC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="006C6316" w:rsidRPr="000B68EC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0B68EC">
              <w:rPr>
                <w:rFonts w:ascii="Times New Roman" w:hAnsi="Times New Roman" w:cs="Times New Roman"/>
              </w:rPr>
              <w:t>.</w:t>
            </w:r>
          </w:p>
        </w:tc>
      </w:tr>
      <w:tr w:rsidR="00533EE1" w:rsidRPr="000B68EC" w:rsidTr="004D27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0B68EC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0B68EC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533EE1" w:rsidRPr="000B68EC" w:rsidRDefault="00533EE1" w:rsidP="004931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0B68EC" w:rsidRDefault="00AB2426" w:rsidP="00AB2426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22B39"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F22B39"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22B39" w:rsidRPr="000B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945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3EE1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0B68EC" w:rsidRDefault="00533EE1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0B68EC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0B68EC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0B68EC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</w:t>
            </w:r>
            <w:r w:rsidR="00533EE1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0B68EC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0B68EC" w:rsidRDefault="00C738BE" w:rsidP="004931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0B68EC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5 рабочих дней со дня получения уведомления</w:t>
            </w:r>
          </w:p>
        </w:tc>
        <w:tc>
          <w:tcPr>
            <w:tcW w:w="945" w:type="pct"/>
          </w:tcPr>
          <w:p w:rsidR="00533EE1" w:rsidRPr="000B68EC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4.1. 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0B68EC" w:rsidRDefault="002559FF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9A53E9" w:rsidRPr="000B68EC" w:rsidRDefault="002559F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2559FF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рабочих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0B68EC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68EC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r w:rsidR="004D27F4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B68EC">
              <w:rPr>
                <w:rFonts w:ascii="Times New Roman" w:hAnsi="Times New Roman" w:cs="Times New Roman"/>
              </w:rPr>
              <w:t xml:space="preserve">одписание заявителем двух экземпляров проекта договора и направление   </w:t>
            </w:r>
            <w:r w:rsidRPr="000B68EC">
              <w:rPr>
                <w:rFonts w:ascii="Times New Roman" w:hAnsi="Times New Roman" w:cs="Times New Roman"/>
              </w:rPr>
              <w:lastRenderedPageBreak/>
              <w:t>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2559FF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рабочих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 дня получения </w:t>
            </w:r>
            <w:r w:rsidR="009A53E9"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заявителем проекта договора.</w:t>
            </w:r>
          </w:p>
          <w:p w:rsidR="009A53E9" w:rsidRPr="000B68EC" w:rsidRDefault="009A53E9" w:rsidP="002559F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2559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 w:rsidR="002559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2559F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дней  –  заявка аннулируется.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4.4.</w:t>
            </w:r>
            <w:r w:rsidRPr="000B6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2559FF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DF3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970993">
              <w:rPr>
                <w:rFonts w:ascii="Times New Roman" w:hAnsi="Times New Roman" w:cs="Times New Roman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970993" w:rsidRDefault="002559FF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рабочих дней </w:t>
            </w:r>
            <w:proofErr w:type="gramStart"/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945" w:type="pct"/>
          </w:tcPr>
          <w:p w:rsidR="009A53E9" w:rsidRPr="00970993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0B68EC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0B68EC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ется мощность</w:t>
            </w:r>
          </w:p>
        </w:tc>
        <w:tc>
          <w:tcPr>
            <w:tcW w:w="945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6.4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6.5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B68EC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6.6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B68EC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7.1.</w:t>
            </w:r>
            <w:r w:rsidRPr="000B68EC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</w:t>
            </w:r>
            <w:r w:rsidRPr="000B68EC">
              <w:rPr>
                <w:rFonts w:ascii="Times New Roman" w:hAnsi="Times New Roman" w:cs="Times New Roman"/>
              </w:rPr>
              <w:lastRenderedPageBreak/>
              <w:t>проверке выполнения технических условий проводятся непосредственно в процессе проведения осмотра</w:t>
            </w:r>
          </w:p>
          <w:p w:rsidR="00C7072F" w:rsidRPr="000B68EC" w:rsidRDefault="00C7072F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156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65" w:type="pct"/>
          </w:tcPr>
          <w:p w:rsidR="009A53E9" w:rsidRPr="000B68EC" w:rsidRDefault="00233BA3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 невыполнении требований технических </w:t>
            </w:r>
            <w:r w:rsidRPr="000B68EC">
              <w:rPr>
                <w:rFonts w:ascii="Times New Roman" w:hAnsi="Times New Roman" w:cs="Times New Roman"/>
              </w:rPr>
              <w:lastRenderedPageBreak/>
              <w:t>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Пункты 83-89 </w:t>
            </w:r>
            <w:r w:rsidR="00C7072F">
              <w:rPr>
                <w:rFonts w:ascii="Times New Roman" w:hAnsi="Times New Roman" w:cs="Times New Roman"/>
              </w:rPr>
              <w:t>91, 91 (1)</w:t>
            </w:r>
            <w:r w:rsidR="00C7072F" w:rsidRPr="00A33D8A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7.2.</w:t>
            </w:r>
            <w:r w:rsidRPr="000B68EC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7.3.</w:t>
            </w:r>
            <w:r w:rsidRPr="000B68EC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</w:t>
            </w:r>
            <w:r w:rsidRPr="000B68EC">
              <w:rPr>
                <w:rFonts w:ascii="Times New Roman" w:hAnsi="Times New Roman" w:cs="Times New Roman"/>
              </w:rPr>
              <w:lastRenderedPageBreak/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7.4.</w:t>
            </w:r>
            <w:r w:rsidRPr="000B68EC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9A53E9" w:rsidRPr="000B68EC" w:rsidRDefault="00233BA3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0B68EC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7.5.</w:t>
            </w:r>
            <w:r w:rsidRPr="000B68EC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9A53E9" w:rsidRPr="000B68EC" w:rsidRDefault="00233BA3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9A53E9" w:rsidRPr="000B68EC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0B68EC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C7072F" w:rsidRDefault="00C7072F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150-154 </w:t>
            </w:r>
          </w:p>
          <w:p w:rsidR="009A53E9" w:rsidRPr="000B68EC" w:rsidRDefault="009A53E9" w:rsidP="00E423B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B68EC">
              <w:t xml:space="preserve">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E423B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7.6.</w:t>
            </w:r>
            <w:r w:rsidRPr="000B68EC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0B68EC" w:rsidRDefault="009A53E9" w:rsidP="00C7072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8</w:t>
            </w:r>
            <w:r w:rsidR="00C7072F">
              <w:rPr>
                <w:rFonts w:ascii="Times New Roman" w:hAnsi="Times New Roman" w:cs="Times New Roman"/>
              </w:rPr>
              <w:t>8</w:t>
            </w:r>
            <w:r w:rsidR="00E423B2">
              <w:rPr>
                <w:rFonts w:ascii="Times New Roman" w:hAnsi="Times New Roman" w:cs="Times New Roman"/>
              </w:rPr>
              <w:t>, 89</w:t>
            </w:r>
            <w:r w:rsidRPr="000B68EC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7.7. </w:t>
            </w:r>
            <w:r w:rsidRPr="000B68EC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  <w:r w:rsidRPr="000B68EC">
              <w:rPr>
                <w:rFonts w:ascii="Times New Roman" w:hAnsi="Times New Roman" w:cs="Times New Roman"/>
              </w:rPr>
              <w:lastRenderedPageBreak/>
              <w:t xml:space="preserve">направляется 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акта о </w:t>
            </w:r>
            <w:r w:rsidRPr="000B68EC">
              <w:rPr>
                <w:rFonts w:ascii="Times New Roman" w:hAnsi="Times New Roman" w:cs="Times New Roman"/>
              </w:rPr>
              <w:lastRenderedPageBreak/>
              <w:t>выполнении технических условий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B68EC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6.1</w:t>
            </w:r>
            <w:r w:rsidRPr="000B68EC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vAlign w:val="center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0B68EC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B68EC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A53E9" w:rsidRPr="000B68EC" w:rsidTr="004D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0B68EC" w:rsidRDefault="009A53E9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0B68EC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B68EC">
              <w:rPr>
                <w:rFonts w:ascii="Times New Roman" w:hAnsi="Times New Roman" w:cs="Times New Roman"/>
              </w:rPr>
              <w:lastRenderedPageBreak/>
              <w:t>энергосбытовую</w:t>
            </w:r>
            <w:proofErr w:type="spellEnd"/>
            <w:r w:rsidRPr="000B68EC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9A53E9" w:rsidRPr="000B68EC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0B68EC" w:rsidRDefault="009A53E9" w:rsidP="005E4974">
            <w:r w:rsidRPr="000B68EC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Pr="000B68EC">
              <w:rPr>
                <w:rFonts w:ascii="Times New Roman" w:hAnsi="Times New Roman" w:cs="Times New Roman"/>
              </w:rPr>
              <w:lastRenderedPageBreak/>
              <w:t>предоставления подписанных  заявителем актов в сетевую организацию.</w:t>
            </w:r>
          </w:p>
        </w:tc>
        <w:tc>
          <w:tcPr>
            <w:tcW w:w="945" w:type="pct"/>
          </w:tcPr>
          <w:p w:rsidR="009A53E9" w:rsidRPr="000B68EC" w:rsidRDefault="009A53E9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8EC">
              <w:rPr>
                <w:rFonts w:ascii="Times New Roman" w:hAnsi="Times New Roman" w:cs="Times New Roman"/>
              </w:rPr>
              <w:lastRenderedPageBreak/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0B68EC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r w:rsidRPr="000B68EC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</w:tbl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A1E" w:rsidRDefault="00C72A1E" w:rsidP="00C7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FB" w:rsidRPr="0067450A" w:rsidRDefault="005823FB" w:rsidP="0058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5823FB" w:rsidRPr="002A17FD" w:rsidRDefault="005823FB" w:rsidP="0058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</w:t>
      </w:r>
      <w:r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823FB" w:rsidRDefault="005823FB" w:rsidP="0058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40C2A" w:rsidRPr="0067450A" w:rsidRDefault="00040C2A" w:rsidP="00C72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0C2A" w:rsidRPr="0067450A" w:rsidSect="00857CA2">
      <w:pgSz w:w="16838" w:h="11906" w:orient="landscape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A3" w:rsidRDefault="00233BA3" w:rsidP="00DC7CA8">
      <w:pPr>
        <w:spacing w:after="0" w:line="240" w:lineRule="auto"/>
      </w:pPr>
      <w:r>
        <w:separator/>
      </w:r>
    </w:p>
  </w:endnote>
  <w:endnote w:type="continuationSeparator" w:id="0">
    <w:p w:rsidR="00233BA3" w:rsidRDefault="00233BA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A3" w:rsidRDefault="00233BA3" w:rsidP="00DC7CA8">
      <w:pPr>
        <w:spacing w:after="0" w:line="240" w:lineRule="auto"/>
      </w:pPr>
      <w:r>
        <w:separator/>
      </w:r>
    </w:p>
  </w:footnote>
  <w:footnote w:type="continuationSeparator" w:id="0">
    <w:p w:rsidR="00233BA3" w:rsidRDefault="00233BA3" w:rsidP="00DC7CA8">
      <w:pPr>
        <w:spacing w:after="0" w:line="240" w:lineRule="auto"/>
      </w:pPr>
      <w:r>
        <w:continuationSeparator/>
      </w:r>
    </w:p>
  </w:footnote>
  <w:footnote w:id="1">
    <w:p w:rsidR="00857CA2" w:rsidRPr="00857CA2" w:rsidRDefault="00857CA2">
      <w:pPr>
        <w:pStyle w:val="ac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</w:t>
      </w:r>
      <w:r w:rsidR="005823FB" w:rsidRPr="005823FB">
        <w:rPr>
          <w:rFonts w:ascii="Times New Roman" w:hAnsi="Times New Roman" w:cs="Times New Roman"/>
          <w:sz w:val="24"/>
          <w:szCs w:val="24"/>
        </w:rPr>
        <w:t>Размер платы за ТП размещен в разделе «Потребителям» - «Технологическое присоединение» - «Тариф на технологическое присоединение» на корпоративном сайте ком</w:t>
      </w:r>
      <w:r w:rsidR="005823FB">
        <w:rPr>
          <w:rFonts w:ascii="Times New Roman" w:hAnsi="Times New Roman" w:cs="Times New Roman"/>
          <w:sz w:val="24"/>
          <w:szCs w:val="24"/>
        </w:rPr>
        <w:t xml:space="preserve">пании </w:t>
      </w:r>
      <w:hyperlink r:id="rId1" w:history="1">
        <w:r w:rsidR="005823FB" w:rsidRPr="00984050">
          <w:rPr>
            <w:rStyle w:val="af4"/>
            <w:rFonts w:ascii="Times New Roman" w:hAnsi="Times New Roman" w:cs="Times New Roman"/>
            <w:sz w:val="24"/>
            <w:szCs w:val="24"/>
          </w:rPr>
          <w:t>http://www.eniseyseti.ru</w:t>
        </w:r>
      </w:hyperlink>
      <w:r w:rsidR="005823FB">
        <w:rPr>
          <w:rFonts w:ascii="Times New Roman" w:hAnsi="Times New Roman" w:cs="Times New Roman"/>
          <w:sz w:val="24"/>
          <w:szCs w:val="24"/>
        </w:rPr>
        <w:t xml:space="preserve">   </w:t>
      </w:r>
    </w:p>
  </w:footnote>
  <w:footnote w:id="2">
    <w:p w:rsidR="006C6316" w:rsidRPr="00857CA2" w:rsidRDefault="006C6316" w:rsidP="006C6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E423B2" w:rsidRPr="005823FB" w:rsidRDefault="00E423B2" w:rsidP="00E423B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5823FB">
        <w:rPr>
          <w:rStyle w:val="ae"/>
          <w:rFonts w:ascii="Times New Roman" w:hAnsi="Times New Roman" w:cs="Times New Roman"/>
        </w:rPr>
        <w:footnoteRef/>
      </w:r>
      <w:r w:rsidRPr="005823FB">
        <w:rPr>
          <w:rFonts w:ascii="Times New Roman" w:hAnsi="Times New Roman" w:cs="Times New Roman"/>
        </w:rPr>
        <w:t xml:space="preserve"> </w:t>
      </w:r>
      <w:r w:rsidRPr="005823F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2A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A764E"/>
    <w:rsid w:val="001D45A0"/>
    <w:rsid w:val="00206CD3"/>
    <w:rsid w:val="0022778E"/>
    <w:rsid w:val="00231805"/>
    <w:rsid w:val="00233155"/>
    <w:rsid w:val="00233BA3"/>
    <w:rsid w:val="00242530"/>
    <w:rsid w:val="00251BEC"/>
    <w:rsid w:val="002559FF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4D60"/>
    <w:rsid w:val="004B0BFE"/>
    <w:rsid w:val="004B75E4"/>
    <w:rsid w:val="004D27F4"/>
    <w:rsid w:val="004D2FC8"/>
    <w:rsid w:val="004D712B"/>
    <w:rsid w:val="004F68F4"/>
    <w:rsid w:val="0051045A"/>
    <w:rsid w:val="0051352D"/>
    <w:rsid w:val="00524428"/>
    <w:rsid w:val="00533EE1"/>
    <w:rsid w:val="00534E9A"/>
    <w:rsid w:val="0054414B"/>
    <w:rsid w:val="00557796"/>
    <w:rsid w:val="0058149F"/>
    <w:rsid w:val="005823FB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CA2"/>
    <w:rsid w:val="00861230"/>
    <w:rsid w:val="00863174"/>
    <w:rsid w:val="0086326F"/>
    <w:rsid w:val="00885D40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A53E9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B2426"/>
    <w:rsid w:val="00AE08E3"/>
    <w:rsid w:val="00AF67C0"/>
    <w:rsid w:val="00B04094"/>
    <w:rsid w:val="00B062AF"/>
    <w:rsid w:val="00B118E9"/>
    <w:rsid w:val="00B40D8E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072F"/>
    <w:rsid w:val="00C7174A"/>
    <w:rsid w:val="00C72A1E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423B2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87578"/>
    <w:rsid w:val="00FA6398"/>
    <w:rsid w:val="00FC139B"/>
    <w:rsid w:val="00FC1E5A"/>
    <w:rsid w:val="00FC33E3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423B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423B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42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E423B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423B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42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e.serv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sey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2C7A-38D6-4051-8318-182C0B37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2</cp:revision>
  <cp:lastPrinted>2014-08-01T10:40:00Z</cp:lastPrinted>
  <dcterms:created xsi:type="dcterms:W3CDTF">2018-09-07T06:24:00Z</dcterms:created>
  <dcterms:modified xsi:type="dcterms:W3CDTF">2018-09-07T06:24:00Z</dcterms:modified>
</cp:coreProperties>
</file>