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1" w:rsidRPr="005C2086" w:rsidRDefault="006259B1" w:rsidP="005C2086">
      <w:pPr>
        <w:spacing w:after="0" w:line="288" w:lineRule="auto"/>
        <w:ind w:firstLine="709"/>
        <w:jc w:val="center"/>
        <w:rPr>
          <w:b/>
          <w:i/>
          <w:u w:val="single"/>
        </w:rPr>
      </w:pPr>
      <w:r w:rsidRPr="005C2086">
        <w:rPr>
          <w:rFonts w:ascii="Times New Roman" w:hAnsi="Times New Roman" w:cs="Times New Roman"/>
          <w:b/>
          <w:i/>
          <w:u w:val="single"/>
          <w:lang w:bidi="ru-RU"/>
        </w:rPr>
        <w:t xml:space="preserve">ПАСПОРТ УСЛУГИ (ПРОЦЕССА) </w:t>
      </w:r>
      <w:r w:rsidRPr="005C2086">
        <w:rPr>
          <w:rStyle w:val="30"/>
          <w:rFonts w:eastAsiaTheme="minorHAnsi"/>
          <w:bCs w:val="0"/>
          <w:i/>
          <w:u w:val="single"/>
        </w:rPr>
        <w:t>ТЕХНОЛОГИЧЕСКОЕ ПРИСОЕДИНЕНИЕ К ЭЛЕКТРИЧЕСКИМ СЕТЯМ СЕТЕВОЙ ОРГАНИЗАЦИИ</w:t>
      </w:r>
      <w:r w:rsidRPr="005C2086">
        <w:rPr>
          <w:rStyle w:val="30"/>
          <w:rFonts w:eastAsiaTheme="minorHAnsi"/>
          <w:bCs w:val="0"/>
          <w:i/>
          <w:u w:val="single"/>
        </w:rPr>
        <w:br/>
        <w:t>энергопринимающих устройств физических лиц, юридических лиц и индивидуальных предпринимателей максимальной</w:t>
      </w:r>
      <w:r w:rsidRPr="005C2086">
        <w:rPr>
          <w:rStyle w:val="30"/>
          <w:rFonts w:eastAsiaTheme="minorHAnsi"/>
          <w:bCs w:val="0"/>
          <w:i/>
          <w:u w:val="single"/>
        </w:rPr>
        <w:br/>
        <w:t>мощностью до 150 кВт при осуществлении технологического присоединения энергопринимающих устройств таких заявителей</w:t>
      </w:r>
    </w:p>
    <w:p w:rsidR="006259B1" w:rsidRPr="005C2086" w:rsidRDefault="006259B1" w:rsidP="005C2086">
      <w:pPr>
        <w:spacing w:after="0" w:line="288" w:lineRule="auto"/>
        <w:ind w:firstLine="709"/>
        <w:jc w:val="center"/>
        <w:rPr>
          <w:b/>
          <w:i/>
          <w:u w:val="single"/>
        </w:rPr>
      </w:pPr>
      <w:r w:rsidRPr="005C2086">
        <w:rPr>
          <w:rStyle w:val="30"/>
          <w:rFonts w:eastAsiaTheme="minorHAnsi"/>
          <w:bCs w:val="0"/>
          <w:i/>
          <w:u w:val="single"/>
        </w:rPr>
        <w:t xml:space="preserve">на уровне напряжения 0,4 </w:t>
      </w:r>
      <w:proofErr w:type="spellStart"/>
      <w:r w:rsidRPr="005C2086">
        <w:rPr>
          <w:rStyle w:val="30"/>
          <w:rFonts w:eastAsiaTheme="minorHAnsi"/>
          <w:bCs w:val="0"/>
          <w:i/>
          <w:u w:val="single"/>
        </w:rPr>
        <w:t>кВ</w:t>
      </w:r>
      <w:proofErr w:type="spellEnd"/>
      <w:r w:rsidRPr="005C2086">
        <w:rPr>
          <w:rStyle w:val="30"/>
          <w:rFonts w:eastAsiaTheme="minorHAnsi"/>
          <w:bCs w:val="0"/>
          <w:i/>
          <w:u w:val="single"/>
        </w:rPr>
        <w:t xml:space="preserve"> и ниже</w:t>
      </w:r>
    </w:p>
    <w:p w:rsidR="006259B1" w:rsidRDefault="006259B1" w:rsidP="005C2086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</w:p>
    <w:p w:rsidR="005C2086" w:rsidRPr="005C2086" w:rsidRDefault="005C2086" w:rsidP="005C2086">
      <w:pPr>
        <w:spacing w:after="0" w:line="288" w:lineRule="auto"/>
        <w:ind w:firstLine="709"/>
        <w:jc w:val="both"/>
        <w:rPr>
          <w:rStyle w:val="30"/>
          <w:rFonts w:eastAsiaTheme="minorHAnsi"/>
          <w:bCs w:val="0"/>
          <w:sz w:val="24"/>
          <w:szCs w:val="24"/>
        </w:rPr>
      </w:pPr>
      <w:r w:rsidRPr="005C2086">
        <w:rPr>
          <w:rStyle w:val="30"/>
          <w:rFonts w:eastAsiaTheme="minorHAnsi"/>
          <w:bCs w:val="0"/>
          <w:sz w:val="24"/>
          <w:szCs w:val="24"/>
        </w:rPr>
        <w:t xml:space="preserve">КРУГ ЗАЯВИТЕЛЕЙ: </w:t>
      </w:r>
    </w:p>
    <w:p w:rsidR="005C2086" w:rsidRPr="005C2086" w:rsidRDefault="00D17F34" w:rsidP="005C20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2086" w:rsidRPr="005C2086">
        <w:rPr>
          <w:rFonts w:ascii="Times New Roman" w:hAnsi="Times New Roman" w:cs="Times New Roman"/>
          <w:sz w:val="24"/>
          <w:szCs w:val="24"/>
        </w:rPr>
        <w:t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proofErr w:type="gramEnd"/>
    </w:p>
    <w:p w:rsidR="005C2086" w:rsidRDefault="00D17F34" w:rsidP="005C2086">
      <w:pPr>
        <w:pStyle w:val="20"/>
        <w:shd w:val="clear" w:color="auto" w:fill="auto"/>
        <w:tabs>
          <w:tab w:val="left" w:pos="708"/>
        </w:tabs>
        <w:spacing w:before="0"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2086" w:rsidRPr="005C2086">
        <w:rPr>
          <w:sz w:val="24"/>
          <w:szCs w:val="24"/>
        </w:rPr>
        <w:t>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 w:rsidR="005C2086" w:rsidRPr="005C2086">
        <w:rPr>
          <w:sz w:val="24"/>
          <w:szCs w:val="24"/>
        </w:rPr>
        <w:t>Вт вкл</w:t>
      </w:r>
      <w:proofErr w:type="gramEnd"/>
      <w:r w:rsidR="005C2086" w:rsidRPr="005C2086">
        <w:rPr>
          <w:sz w:val="24"/>
          <w:szCs w:val="24"/>
        </w:rPr>
        <w:t>ючительно (с учетом ранее присоединенных в данной точке присоединения энергопринимающих устройств).</w:t>
      </w:r>
    </w:p>
    <w:p w:rsidR="00D17F34" w:rsidRPr="00D17F34" w:rsidRDefault="00D17F34" w:rsidP="005C2086">
      <w:pPr>
        <w:pStyle w:val="20"/>
        <w:shd w:val="clear" w:color="auto" w:fill="auto"/>
        <w:tabs>
          <w:tab w:val="left" w:pos="708"/>
        </w:tabs>
        <w:spacing w:before="0" w:line="288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</w:t>
      </w:r>
      <w:r w:rsidRPr="00D17F34">
        <w:rPr>
          <w:sz w:val="24"/>
          <w:szCs w:val="24"/>
        </w:rPr>
        <w:t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по третьей категории надежности, расстояние от границ участка заявителя до</w:t>
      </w:r>
      <w:proofErr w:type="gramEnd"/>
      <w:r w:rsidRPr="00D17F34">
        <w:rPr>
          <w:sz w:val="24"/>
          <w:szCs w:val="24"/>
        </w:rPr>
        <w:t xml:space="preserve"> </w:t>
      </w:r>
      <w:proofErr w:type="gramStart"/>
      <w:r w:rsidRPr="00D17F34">
        <w:rPr>
          <w:sz w:val="24"/>
          <w:szCs w:val="24"/>
        </w:rPr>
        <w:t>объектов</w:t>
      </w:r>
      <w:proofErr w:type="gramEnd"/>
      <w:r w:rsidRPr="00D17F34">
        <w:rPr>
          <w:sz w:val="24"/>
          <w:szCs w:val="24"/>
        </w:rPr>
        <w:t xml:space="preserve"> </w:t>
      </w:r>
      <w:proofErr w:type="gramStart"/>
      <w:r w:rsidRPr="00D17F34">
        <w:rPr>
          <w:sz w:val="24"/>
          <w:szCs w:val="24"/>
        </w:rPr>
        <w:t xml:space="preserve">электросетевого хозяйства на уровне напряжения до 0,4 </w:t>
      </w:r>
      <w:proofErr w:type="spellStart"/>
      <w:r w:rsidRPr="00D17F34">
        <w:rPr>
          <w:sz w:val="24"/>
          <w:szCs w:val="24"/>
        </w:rPr>
        <w:t>кВ</w:t>
      </w:r>
      <w:proofErr w:type="spellEnd"/>
      <w:r w:rsidRPr="00D17F34">
        <w:rPr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предоставившее документы подтверждающие соответствие предусмотренным п.17 Правил ТП критериям или права на получение льгот, предусмотренных для указанных категорий граждан, документов</w:t>
      </w:r>
      <w:proofErr w:type="gramEnd"/>
      <w:r w:rsidRPr="00D17F34">
        <w:rPr>
          <w:sz w:val="24"/>
          <w:szCs w:val="24"/>
        </w:rPr>
        <w:t xml:space="preserve">, </w:t>
      </w:r>
      <w:proofErr w:type="gramStart"/>
      <w:r w:rsidRPr="00D17F34">
        <w:rPr>
          <w:sz w:val="24"/>
          <w:szCs w:val="24"/>
        </w:rPr>
        <w:t>оформленных</w:t>
      </w:r>
      <w:proofErr w:type="gramEnd"/>
      <w:r w:rsidRPr="00D17F34">
        <w:rPr>
          <w:sz w:val="24"/>
          <w:szCs w:val="24"/>
        </w:rPr>
        <w:t xml:space="preserve"> уполномоченным федеральным органом исполнительной власти (органом исполнительной власти субъекта Российской Федерации, уполномоченным им государственным учреждением, органом местного самоуправления).</w:t>
      </w:r>
    </w:p>
    <w:p w:rsidR="00032BC2" w:rsidRDefault="00032BC2" w:rsidP="005C2086">
      <w:pPr>
        <w:pStyle w:val="20"/>
        <w:shd w:val="clear" w:color="auto" w:fill="auto"/>
        <w:spacing w:before="0" w:line="288" w:lineRule="auto"/>
        <w:ind w:firstLine="709"/>
        <w:rPr>
          <w:rStyle w:val="2115pt"/>
          <w:sz w:val="24"/>
          <w:szCs w:val="24"/>
        </w:rPr>
      </w:pPr>
    </w:p>
    <w:p w:rsid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rStyle w:val="2115pt"/>
          <w:sz w:val="24"/>
          <w:szCs w:val="24"/>
        </w:rPr>
      </w:pPr>
      <w:r w:rsidRPr="005C2086">
        <w:rPr>
          <w:rStyle w:val="2115pt"/>
          <w:sz w:val="24"/>
          <w:szCs w:val="24"/>
        </w:rPr>
        <w:t>РАЗМЕР ПЛАТЫ ЗА ПРЕДОСТАВЛЕНИЕ УСЛУГИ (ПРОЦЕССА) И ОСНОВАНИЕ ЕЕ ВЗИМАНИЯ</w:t>
      </w:r>
      <w:r w:rsidR="00D17F34">
        <w:rPr>
          <w:rStyle w:val="2115pt"/>
          <w:sz w:val="24"/>
          <w:szCs w:val="24"/>
        </w:rPr>
        <w:t xml:space="preserve"> для заявителей, указанных в п. 1 с максимальной мощностью ЭПУ до 15 к</w:t>
      </w:r>
      <w:proofErr w:type="gramStart"/>
      <w:r w:rsidR="00D17F34">
        <w:rPr>
          <w:rStyle w:val="2115pt"/>
          <w:sz w:val="24"/>
          <w:szCs w:val="24"/>
        </w:rPr>
        <w:t>Вт вкл</w:t>
      </w:r>
      <w:proofErr w:type="gramEnd"/>
      <w:r w:rsidR="00D17F34">
        <w:rPr>
          <w:rStyle w:val="2115pt"/>
          <w:sz w:val="24"/>
          <w:szCs w:val="24"/>
        </w:rPr>
        <w:t>ючительно</w:t>
      </w:r>
      <w:r w:rsidRPr="005C2086">
        <w:rPr>
          <w:rStyle w:val="2115pt"/>
          <w:sz w:val="24"/>
          <w:szCs w:val="24"/>
        </w:rPr>
        <w:t xml:space="preserve">: </w:t>
      </w:r>
    </w:p>
    <w:p w:rsidR="00CD7A32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proofErr w:type="gramStart"/>
      <w:r w:rsidRPr="00D17F34">
        <w:rPr>
          <w:sz w:val="24"/>
          <w:szCs w:val="24"/>
        </w:rPr>
        <w:t xml:space="preserve">При технологическом присоединение энергопринимающих устройств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D17F34">
        <w:rPr>
          <w:sz w:val="24"/>
          <w:szCs w:val="24"/>
        </w:rPr>
        <w:t>кВ</w:t>
      </w:r>
      <w:proofErr w:type="spellEnd"/>
      <w:r w:rsidRPr="00D17F34">
        <w:rPr>
          <w:sz w:val="24"/>
          <w:szCs w:val="24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</w:t>
      </w:r>
      <w:proofErr w:type="gramEnd"/>
      <w:r w:rsidRPr="00D17F34">
        <w:rPr>
          <w:sz w:val="24"/>
          <w:szCs w:val="24"/>
        </w:rPr>
        <w:t xml:space="preserve">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значений: - </w:t>
      </w:r>
      <w:r w:rsidRPr="00D17F34">
        <w:rPr>
          <w:sz w:val="24"/>
          <w:szCs w:val="24"/>
        </w:rPr>
        <w:lastRenderedPageBreak/>
        <w:t xml:space="preserve">стоимость мероприятий по технологическому присоединению, рассчитанная с применением стандартизированных тарифных ставок; - 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в размере не менее 3000 рублей с НДС за 1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присоединения. </w:t>
      </w:r>
    </w:p>
    <w:p w:rsidR="00CD7A32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D17F34">
        <w:rPr>
          <w:sz w:val="24"/>
          <w:szCs w:val="24"/>
        </w:rPr>
        <w:t xml:space="preserve">Положения о размере платы за технологическое присоединение, указанные в абзаце первом настоящего пункта, не могут быть применены в следующих случаях: </w:t>
      </w:r>
    </w:p>
    <w:p w:rsidR="00CD7A32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D17F34">
        <w:rPr>
          <w:sz w:val="24"/>
          <w:szCs w:val="24"/>
        </w:rPr>
        <w:t xml:space="preserve"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 </w:t>
      </w:r>
    </w:p>
    <w:p w:rsidR="00CD7A32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D17F34">
        <w:rPr>
          <w:sz w:val="24"/>
          <w:szCs w:val="24"/>
        </w:rPr>
        <w:t xml:space="preserve">- при технологическом присоединении энергопринимающих устройств, расположенных в помещениях многоквартирных домов; </w:t>
      </w:r>
    </w:p>
    <w:p w:rsidR="00CD7A32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D17F34">
        <w:rPr>
          <w:sz w:val="24"/>
          <w:szCs w:val="24"/>
        </w:rPr>
        <w:t xml:space="preserve">- если в предыдущие три года, заключен договор в границах территории того же субъекта Российской Федерации в соответствии с заявкой, направленной после 01.07.2022. </w:t>
      </w:r>
    </w:p>
    <w:p w:rsidR="00032BC2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D17F34">
        <w:rPr>
          <w:sz w:val="24"/>
          <w:szCs w:val="24"/>
        </w:rPr>
        <w:t>При несоблюдении вышеуказанных критериев,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 w:rsidR="00CD7A32">
        <w:rPr>
          <w:sz w:val="24"/>
          <w:szCs w:val="24"/>
        </w:rPr>
        <w:t xml:space="preserve"> (Р</w:t>
      </w:r>
      <w:r>
        <w:rPr>
          <w:sz w:val="24"/>
          <w:szCs w:val="24"/>
        </w:rPr>
        <w:t>азмер платы за ТП размещен в разделе «Потребителям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«Технологическое присоединение» - «Плата за технологическое присоединение»).</w:t>
      </w:r>
    </w:p>
    <w:p w:rsidR="00CD7A32" w:rsidRDefault="00CD7A32" w:rsidP="005C2086">
      <w:pPr>
        <w:pStyle w:val="20"/>
        <w:shd w:val="clear" w:color="auto" w:fill="auto"/>
        <w:spacing w:before="0" w:line="288" w:lineRule="auto"/>
        <w:ind w:firstLine="709"/>
        <w:rPr>
          <w:rStyle w:val="2115pt"/>
          <w:sz w:val="24"/>
          <w:szCs w:val="24"/>
        </w:rPr>
      </w:pPr>
      <w:r w:rsidRPr="005C2086">
        <w:rPr>
          <w:rStyle w:val="2115pt"/>
          <w:sz w:val="24"/>
          <w:szCs w:val="24"/>
        </w:rPr>
        <w:t>РАЗМЕР ПЛАТЫ ЗА ПРЕДОСТАВЛЕНИЕ УСЛУГИ (ПРОЦЕССА) И ОСНОВАНИЕ ЕЕ ВЗИМАНИЯ</w:t>
      </w:r>
      <w:r>
        <w:rPr>
          <w:rStyle w:val="2115pt"/>
          <w:sz w:val="24"/>
          <w:szCs w:val="24"/>
        </w:rPr>
        <w:t xml:space="preserve"> для заявителей, указанных в п. 2 с максимальной мощностью ЭПУ до 150 к</w:t>
      </w:r>
      <w:proofErr w:type="gramStart"/>
      <w:r>
        <w:rPr>
          <w:rStyle w:val="2115pt"/>
          <w:sz w:val="24"/>
          <w:szCs w:val="24"/>
        </w:rPr>
        <w:t>Вт вкл</w:t>
      </w:r>
      <w:proofErr w:type="gramEnd"/>
      <w:r>
        <w:rPr>
          <w:rStyle w:val="2115pt"/>
          <w:sz w:val="24"/>
          <w:szCs w:val="24"/>
        </w:rPr>
        <w:t>ючительно</w:t>
      </w:r>
      <w:r w:rsidRPr="005C2086">
        <w:rPr>
          <w:rStyle w:val="2115pt"/>
          <w:sz w:val="24"/>
          <w:szCs w:val="24"/>
        </w:rPr>
        <w:t>:</w:t>
      </w:r>
    </w:p>
    <w:p w:rsidR="00CD7A32" w:rsidRDefault="00CD7A32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CD7A32">
        <w:rPr>
          <w:sz w:val="24"/>
          <w:szCs w:val="24"/>
        </w:rPr>
        <w:t>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>
        <w:rPr>
          <w:sz w:val="24"/>
          <w:szCs w:val="24"/>
        </w:rPr>
        <w:t>.</w:t>
      </w:r>
    </w:p>
    <w:p w:rsidR="00CD7A32" w:rsidRDefault="00CD7A32" w:rsidP="00CD7A32">
      <w:pPr>
        <w:pStyle w:val="20"/>
        <w:shd w:val="clear" w:color="auto" w:fill="auto"/>
        <w:spacing w:before="0" w:line="288" w:lineRule="auto"/>
        <w:ind w:firstLine="709"/>
        <w:rPr>
          <w:rStyle w:val="2115pt"/>
          <w:sz w:val="24"/>
          <w:szCs w:val="24"/>
        </w:rPr>
      </w:pPr>
      <w:r w:rsidRPr="005C2086">
        <w:rPr>
          <w:rStyle w:val="2115pt"/>
          <w:sz w:val="24"/>
          <w:szCs w:val="24"/>
        </w:rPr>
        <w:t>РАЗМЕР ПЛАТЫ ЗА ПРЕДОСТАВЛЕНИЕ УСЛУГИ (ПРОЦЕССА) И ОСНОВАНИЕ ЕЕ ВЗИМАНИЯ</w:t>
      </w:r>
      <w:r>
        <w:rPr>
          <w:rStyle w:val="2115pt"/>
          <w:sz w:val="24"/>
          <w:szCs w:val="24"/>
        </w:rPr>
        <w:t xml:space="preserve"> для заявителей, указанных в п. 3 с размер платы за технологическое присоединение определяется в размере минимального из следующих значений:</w:t>
      </w:r>
    </w:p>
    <w:p w:rsidR="00CD7A32" w:rsidRDefault="00CD7A32" w:rsidP="00CD7A32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CD7A32">
        <w:rPr>
          <w:sz w:val="24"/>
          <w:szCs w:val="24"/>
        </w:rPr>
        <w:t>- стоимость мероприятий по технологическому присоединению, рассчитанная с применением станд</w:t>
      </w:r>
      <w:r>
        <w:rPr>
          <w:sz w:val="24"/>
          <w:szCs w:val="24"/>
        </w:rPr>
        <w:t>артизированных тарифных ставок;</w:t>
      </w:r>
    </w:p>
    <w:p w:rsidR="00CD7A32" w:rsidRPr="00CD7A32" w:rsidRDefault="00CD7A32" w:rsidP="00CD7A32">
      <w:pPr>
        <w:pStyle w:val="20"/>
        <w:shd w:val="clear" w:color="auto" w:fill="auto"/>
        <w:spacing w:before="0" w:line="288" w:lineRule="auto"/>
        <w:ind w:firstLine="709"/>
        <w:rPr>
          <w:rStyle w:val="2115pt"/>
          <w:b w:val="0"/>
          <w:sz w:val="24"/>
          <w:szCs w:val="24"/>
        </w:rPr>
      </w:pPr>
      <w:r w:rsidRPr="00CD7A32">
        <w:rPr>
          <w:sz w:val="24"/>
          <w:szCs w:val="24"/>
        </w:rPr>
        <w:t>- 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 в отношении всей совокупности таких мероприятий в размере не менее 1000 рублей с НДС за 1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присоединения.</w:t>
      </w:r>
    </w:p>
    <w:p w:rsidR="00D17F34" w:rsidRPr="00D17F34" w:rsidRDefault="00D17F34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</w:p>
    <w:p w:rsidR="00032BC2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5C2086">
        <w:rPr>
          <w:b/>
          <w:bCs/>
          <w:sz w:val="24"/>
          <w:szCs w:val="24"/>
        </w:rPr>
        <w:t xml:space="preserve">УСЛОВИЯ ОКАЗАНИЯ УСЛУГИ (ПРОЦЕССА): 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 xml:space="preserve">намерение заявителя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</w:t>
      </w:r>
      <w:r w:rsidRPr="005C2086">
        <w:rPr>
          <w:sz w:val="24"/>
          <w:szCs w:val="24"/>
        </w:rPr>
        <w:lastRenderedPageBreak/>
        <w:t>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032BC2" w:rsidRDefault="00032BC2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</w:p>
    <w:p w:rsidR="00032BC2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5C2086">
        <w:rPr>
          <w:b/>
          <w:bCs/>
          <w:sz w:val="24"/>
          <w:szCs w:val="24"/>
        </w:rPr>
        <w:t xml:space="preserve">РЕЗУЛЬТАТ ОКАЗАНИЯ УСЛУГИ (ПРОЦЕССА): </w:t>
      </w:r>
    </w:p>
    <w:p w:rsidR="00032BC2" w:rsidRPr="00CD7A32" w:rsidRDefault="00CD7A32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CD7A32">
        <w:rPr>
          <w:sz w:val="24"/>
          <w:szCs w:val="24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CD7A32">
        <w:rPr>
          <w:sz w:val="24"/>
          <w:szCs w:val="24"/>
        </w:rPr>
        <w:t>энергопринимающими</w:t>
      </w:r>
      <w:proofErr w:type="spellEnd"/>
      <w:r w:rsidRPr="00CD7A32">
        <w:rPr>
          <w:sz w:val="24"/>
          <w:szCs w:val="24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CD7A32" w:rsidRDefault="00CD7A32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</w:p>
    <w:p w:rsidR="00032BC2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5C2086">
        <w:rPr>
          <w:b/>
          <w:bCs/>
          <w:sz w:val="24"/>
          <w:szCs w:val="24"/>
        </w:rPr>
        <w:t xml:space="preserve">ОБЩИИ СРОК ОКАЗАНИЯ УСЛУГИ (ПРОЦЕССА): </w:t>
      </w:r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3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D7A3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7A3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  <w:proofErr w:type="gramEnd"/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32">
        <w:rPr>
          <w:rFonts w:ascii="Times New Roman" w:hAnsi="Times New Roman" w:cs="Times New Roman"/>
          <w:sz w:val="24"/>
          <w:szCs w:val="24"/>
        </w:rPr>
        <w:t>-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</w:t>
      </w:r>
      <w:proofErr w:type="gramEnd"/>
      <w:r w:rsidRPr="00CD7A32">
        <w:rPr>
          <w:rFonts w:ascii="Times New Roman" w:hAnsi="Times New Roman" w:cs="Times New Roman"/>
          <w:sz w:val="24"/>
          <w:szCs w:val="24"/>
        </w:rPr>
        <w:t xml:space="preserve"> заключения договора; </w:t>
      </w:r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32">
        <w:rPr>
          <w:rFonts w:ascii="Times New Roman" w:hAnsi="Times New Roman" w:cs="Times New Roman"/>
          <w:sz w:val="24"/>
          <w:szCs w:val="24"/>
        </w:rPr>
        <w:t xml:space="preserve">- в иных случаях – 6 месяцев </w:t>
      </w:r>
      <w:proofErr w:type="gramStart"/>
      <w:r w:rsidRPr="00CD7A3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D7A32">
        <w:rPr>
          <w:rFonts w:ascii="Times New Roman" w:hAnsi="Times New Roman" w:cs="Times New Roman"/>
          <w:sz w:val="24"/>
          <w:szCs w:val="24"/>
        </w:rPr>
        <w:t xml:space="preserve"> договора; </w:t>
      </w:r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32">
        <w:rPr>
          <w:rFonts w:ascii="Times New Roman" w:hAnsi="Times New Roman" w:cs="Times New Roman"/>
          <w:sz w:val="24"/>
          <w:szCs w:val="24"/>
        </w:rPr>
        <w:t xml:space="preserve">- 30 рабочих дней при одновременном выполнении всех нижеперечисленных условий: </w:t>
      </w:r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32">
        <w:rPr>
          <w:rFonts w:ascii="Times New Roman" w:hAnsi="Times New Roman" w:cs="Times New Roman"/>
          <w:sz w:val="24"/>
          <w:szCs w:val="24"/>
        </w:rPr>
        <w:t xml:space="preserve">а)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 </w:t>
      </w:r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32">
        <w:rPr>
          <w:rFonts w:ascii="Times New Roman" w:hAnsi="Times New Roman" w:cs="Times New Roman"/>
          <w:sz w:val="24"/>
          <w:szCs w:val="24"/>
        </w:rPr>
        <w:t xml:space="preserve">б) 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 </w:t>
      </w:r>
      <w:proofErr w:type="gramEnd"/>
    </w:p>
    <w:p w:rsid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32">
        <w:rPr>
          <w:rFonts w:ascii="Times New Roman" w:hAnsi="Times New Roman" w:cs="Times New Roman"/>
          <w:sz w:val="24"/>
          <w:szCs w:val="24"/>
        </w:rPr>
        <w:t>в)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</w:t>
      </w:r>
      <w:proofErr w:type="gramEnd"/>
      <w:r w:rsidRPr="00CD7A32">
        <w:rPr>
          <w:rFonts w:ascii="Times New Roman" w:hAnsi="Times New Roman" w:cs="Times New Roman"/>
          <w:sz w:val="24"/>
          <w:szCs w:val="24"/>
        </w:rPr>
        <w:t xml:space="preserve"> (мощности). </w:t>
      </w:r>
    </w:p>
    <w:p w:rsidR="00032BC2" w:rsidRPr="00CD7A32" w:rsidRDefault="00CD7A3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32">
        <w:rPr>
          <w:rFonts w:ascii="Times New Roman" w:hAnsi="Times New Roman" w:cs="Times New Roman"/>
          <w:sz w:val="24"/>
          <w:szCs w:val="24"/>
        </w:rPr>
        <w:t xml:space="preserve">- При несоблюдении всех вышеуказанных условий - 1 год </w:t>
      </w:r>
      <w:proofErr w:type="gramStart"/>
      <w:r w:rsidRPr="00CD7A3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D7A32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032BC2" w:rsidRPr="005C2086" w:rsidRDefault="00032BC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СОСТАВ,</w:t>
      </w:r>
      <w:r w:rsidRPr="005C2086">
        <w:rPr>
          <w:b/>
          <w:sz w:val="24"/>
          <w:szCs w:val="24"/>
          <w:u w:val="single"/>
        </w:rPr>
        <w:t xml:space="preserve"> </w:t>
      </w: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И СРОКИ ОКАЗАНИЯ УСЛУГИ (ПРОЦЕССА):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</w:p>
    <w:tbl>
      <w:tblPr>
        <w:tblStyle w:val="a3"/>
        <w:tblW w:w="14677" w:type="dxa"/>
        <w:tblLook w:val="04A0" w:firstRow="1" w:lastRow="0" w:firstColumn="1" w:lastColumn="0" w:noHBand="0" w:noVBand="1"/>
      </w:tblPr>
      <w:tblGrid>
        <w:gridCol w:w="664"/>
        <w:gridCol w:w="2265"/>
        <w:gridCol w:w="2385"/>
        <w:gridCol w:w="2528"/>
        <w:gridCol w:w="2472"/>
        <w:gridCol w:w="1928"/>
        <w:gridCol w:w="2435"/>
      </w:tblGrid>
      <w:tr w:rsidR="00241860" w:rsidRPr="00FE0FBE" w:rsidTr="002D06FA">
        <w:trPr>
          <w:tblHeader/>
        </w:trPr>
        <w:tc>
          <w:tcPr>
            <w:tcW w:w="664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265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385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528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472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1928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435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241860" w:rsidRPr="00FE0FBE" w:rsidTr="002D06FA">
        <w:tc>
          <w:tcPr>
            <w:tcW w:w="664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5" w:type="dxa"/>
            <w:vMerge w:val="restart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счёта за оказание услуги.</w:t>
            </w:r>
          </w:p>
        </w:tc>
        <w:tc>
          <w:tcPr>
            <w:tcW w:w="238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25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472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Электронная (в том числе посредством переадресации на официальный сайт,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обеспечивающий возможность направлять заявку и прилагаемые документы).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 случае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отсутствия 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заявителя личного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кабинета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потребителя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сетевая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организация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регистрирует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личный кабинет 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сообщает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заявителю порядок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доступа к личному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кабинету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потребителя,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включая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получение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первоначального доступа к личному кабинету, регистрацию и авторизацию потребителя.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 случае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необходимости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сетевая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организация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обеспечивает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доступ к личному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кабинету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потребителя на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безвозмездной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основе.</w:t>
            </w:r>
          </w:p>
        </w:tc>
        <w:tc>
          <w:tcPr>
            <w:tcW w:w="19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Не ограничен</w:t>
            </w:r>
          </w:p>
        </w:tc>
        <w:tc>
          <w:tcPr>
            <w:tcW w:w="243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Пункты 8-10, 12(1), 14, 103-109 Правил технологического присоединения, утв. Постановлением Российской Федерации от 27.12.2004 № 861</w:t>
            </w:r>
          </w:p>
        </w:tc>
      </w:tr>
      <w:tr w:rsidR="00241860" w:rsidRPr="00FE0FBE" w:rsidTr="002D06FA">
        <w:tc>
          <w:tcPr>
            <w:tcW w:w="664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Style w:val="2105pt"/>
              </w:rPr>
              <w:t>При отсутствии сведений и документов, указанных в пунктах 9, 10 и 14, 12(1) Правил технологического присоединения</w:t>
            </w:r>
          </w:p>
        </w:tc>
        <w:tc>
          <w:tcPr>
            <w:tcW w:w="2528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1.2. </w:t>
            </w:r>
            <w:proofErr w:type="gramStart"/>
            <w:r w:rsidRPr="00FE0FBE">
              <w:rPr>
                <w:rStyle w:val="2105pt"/>
              </w:rPr>
              <w:t>Сетевая организация направляет заявителю уведомление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  <w:proofErr w:type="gramEnd"/>
          </w:p>
        </w:tc>
        <w:tc>
          <w:tcPr>
            <w:tcW w:w="247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 рабочих дня со дня получения заявки</w:t>
            </w:r>
          </w:p>
        </w:tc>
        <w:tc>
          <w:tcPr>
            <w:tcW w:w="243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241860" w:rsidRPr="00FE0FBE" w:rsidTr="002D06FA">
        <w:tc>
          <w:tcPr>
            <w:tcW w:w="664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25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1.3. Аннулирование заявки и уведомление об этом заявителя</w:t>
            </w:r>
          </w:p>
        </w:tc>
        <w:tc>
          <w:tcPr>
            <w:tcW w:w="247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 рабочих дня со дня принятия решения об аннулировании заявки</w:t>
            </w:r>
          </w:p>
        </w:tc>
        <w:tc>
          <w:tcPr>
            <w:tcW w:w="243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</w:tr>
      <w:tr w:rsidR="00241860" w:rsidRPr="00FE0FBE" w:rsidTr="002D06FA">
        <w:tc>
          <w:tcPr>
            <w:tcW w:w="664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1.4. 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247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2 рабочих дней со дня поступления заявки</w:t>
            </w:r>
          </w:p>
        </w:tc>
        <w:tc>
          <w:tcPr>
            <w:tcW w:w="243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п.107, 10,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241860" w:rsidRPr="00FE0FBE" w:rsidTr="008E24C5">
        <w:tc>
          <w:tcPr>
            <w:tcW w:w="664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Заявка, соответствующая Правилам технологического присоединения</w:t>
            </w:r>
          </w:p>
        </w:tc>
        <w:tc>
          <w:tcPr>
            <w:tcW w:w="2528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1.5 Размещение сетевой организацией в Личном кабинете заявителя: условий типового договора об осуществлении технологического присоединения к электрическим сетям;</w:t>
            </w:r>
          </w:p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- технических условий;</w:t>
            </w:r>
          </w:p>
          <w:p w:rsidR="00241860" w:rsidRPr="00FE0FBE" w:rsidRDefault="002D06FA" w:rsidP="00AF67F7">
            <w:pPr>
              <w:pStyle w:val="20"/>
              <w:shd w:val="clear" w:color="auto" w:fill="auto"/>
              <w:tabs>
                <w:tab w:val="left" w:pos="134"/>
              </w:tabs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- счета для внесения платы </w:t>
            </w:r>
            <w:r w:rsidR="00241860" w:rsidRPr="00FE0FBE">
              <w:rPr>
                <w:rStyle w:val="2105pt"/>
              </w:rPr>
              <w:t>за технологическое присоединение;</w:t>
            </w:r>
          </w:p>
          <w:p w:rsidR="008E24C5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-инструкции,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</w:t>
            </w:r>
            <w:r w:rsidR="002D06FA">
              <w:rPr>
                <w:rStyle w:val="2105pt"/>
              </w:rPr>
              <w:t>го приема напряжения и мощности.</w:t>
            </w:r>
          </w:p>
        </w:tc>
        <w:tc>
          <w:tcPr>
            <w:tcW w:w="247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8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10 рабочих дней со дня поступления заявки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П.105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8E24C5" w:rsidRPr="00FE0FBE" w:rsidTr="00021A50">
        <w:tc>
          <w:tcPr>
            <w:tcW w:w="664" w:type="dxa"/>
          </w:tcPr>
          <w:p w:rsidR="008E24C5" w:rsidRPr="00FE0FBE" w:rsidRDefault="008E24C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Оплата заявителем счета выставленного сетевой организации</w:t>
            </w:r>
          </w:p>
        </w:tc>
        <w:tc>
          <w:tcPr>
            <w:tcW w:w="2528" w:type="dxa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 Уведомление заявителя о заключении договора ТП</w:t>
            </w:r>
          </w:p>
        </w:tc>
        <w:tc>
          <w:tcPr>
            <w:tcW w:w="2472" w:type="dxa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proofErr w:type="gramStart"/>
            <w:r w:rsidRPr="00FE0FBE">
              <w:rPr>
                <w:rStyle w:val="2105pt"/>
              </w:rPr>
              <w:t xml:space="preserve">В течение 5 рабочих дней </w:t>
            </w:r>
            <w:r w:rsidRPr="002D06FA">
              <w:rPr>
                <w:rStyle w:val="2105pt"/>
              </w:rPr>
              <w:t>(если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присоединения, предусмотренного пунктом 103 настоящих Правил, оплатить</w:t>
            </w:r>
            <w:proofErr w:type="gramEnd"/>
            <w:r w:rsidRPr="002D06FA">
              <w:rPr>
                <w:rStyle w:val="2105pt"/>
              </w:rPr>
              <w:t xml:space="preserve"> такой счет в порядке, предусмотренном настоящими Правилами.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C5" w:rsidRPr="00FE0FBE" w:rsidRDefault="008E24C5" w:rsidP="008E24C5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п.</w:t>
            </w:r>
            <w:r>
              <w:rPr>
                <w:rStyle w:val="2105pt"/>
              </w:rPr>
              <w:t xml:space="preserve">103, </w:t>
            </w:r>
            <w:r w:rsidRPr="00FE0FBE">
              <w:rPr>
                <w:rStyle w:val="2105pt"/>
              </w:rPr>
              <w:t>106</w:t>
            </w:r>
            <w:r>
              <w:rPr>
                <w:rStyle w:val="2105pt"/>
              </w:rPr>
              <w:t xml:space="preserve"> </w:t>
            </w:r>
            <w:r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8E24C5" w:rsidRPr="00FE0FBE" w:rsidTr="00021A50">
        <w:tc>
          <w:tcPr>
            <w:tcW w:w="664" w:type="dxa"/>
          </w:tcPr>
          <w:p w:rsidR="008E24C5" w:rsidRPr="00FE0FBE" w:rsidRDefault="008E24C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1.6.1. Уведомление субъекта розничного рынка, указанного в заявке об оплате счета</w:t>
            </w:r>
          </w:p>
        </w:tc>
        <w:tc>
          <w:tcPr>
            <w:tcW w:w="2472" w:type="dxa"/>
          </w:tcPr>
          <w:p w:rsidR="008E24C5" w:rsidRPr="00FE0FBE" w:rsidRDefault="008E24C5" w:rsidP="00AF67F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8E24C5" w:rsidRPr="00FE0FBE" w:rsidRDefault="008E24C5" w:rsidP="00FF3814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Н</w:t>
            </w:r>
            <w:r w:rsidRPr="00FE0FBE">
              <w:rPr>
                <w:rStyle w:val="2105pt"/>
              </w:rPr>
              <w:t>е позднее</w:t>
            </w:r>
            <w:r>
              <w:rPr>
                <w:rStyle w:val="2105pt"/>
              </w:rPr>
              <w:t xml:space="preserve"> 2 рабочих дней со дня оплаты заявителем счета</w:t>
            </w:r>
            <w:r w:rsidRPr="00FE0FBE">
              <w:rPr>
                <w:rStyle w:val="2105pt"/>
              </w:rPr>
              <w:t xml:space="preserve"> 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8E24C5" w:rsidRPr="00FE0FBE" w:rsidRDefault="008E24C5" w:rsidP="008E24C5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8E24C5">
              <w:rPr>
                <w:rStyle w:val="2105pt"/>
              </w:rPr>
              <w:t>п. 107 Правил технологического присоединения, утв. Постановлением Российской Федерации от 27.12.2004 № 861</w:t>
            </w:r>
          </w:p>
        </w:tc>
      </w:tr>
      <w:tr w:rsidR="008E24C5" w:rsidRPr="00FE0FBE" w:rsidTr="008E24C5">
        <w:tc>
          <w:tcPr>
            <w:tcW w:w="664" w:type="dxa"/>
          </w:tcPr>
          <w:p w:rsidR="008E24C5" w:rsidRPr="00FE0FBE" w:rsidRDefault="008E24C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85" w:type="dxa"/>
          </w:tcPr>
          <w:p w:rsidR="008E24C5" w:rsidRPr="00FE0FBE" w:rsidRDefault="008E24C5" w:rsidP="008E24C5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2528" w:type="dxa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1.7. Аннулирование заявки</w:t>
            </w:r>
          </w:p>
        </w:tc>
        <w:tc>
          <w:tcPr>
            <w:tcW w:w="2472" w:type="dxa"/>
          </w:tcPr>
          <w:p w:rsidR="008E24C5" w:rsidRPr="00FE0FBE" w:rsidRDefault="008E24C5" w:rsidP="00AF67F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8E24C5" w:rsidRPr="00FE0FBE" w:rsidRDefault="008E24C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По истечении 5 рабочих дней со дня выставления сетевой организацией счета.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5" w:rsidRPr="00FE0FBE" w:rsidRDefault="008E24C5" w:rsidP="008E24C5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8E24C5">
              <w:rPr>
                <w:rStyle w:val="2105pt"/>
              </w:rPr>
              <w:t>п.</w:t>
            </w:r>
            <w:r>
              <w:rPr>
                <w:rStyle w:val="2105pt"/>
              </w:rPr>
              <w:t xml:space="preserve"> 106 </w:t>
            </w:r>
            <w:r w:rsidRPr="008E24C5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8E24C5">
        <w:tc>
          <w:tcPr>
            <w:tcW w:w="664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proofErr w:type="gramStart"/>
            <w:r w:rsidRPr="00FE0FBE">
              <w:rPr>
                <w:rStyle w:val="2105pt"/>
              </w:rPr>
              <w:t xml:space="preserve"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FE0FBE">
              <w:rPr>
                <w:rStyle w:val="2105pt"/>
              </w:rPr>
              <w:t>энергопринимающими</w:t>
            </w:r>
            <w:proofErr w:type="spellEnd"/>
            <w:r w:rsidRPr="00FE0FBE">
              <w:rPr>
                <w:rStyle w:val="2105pt"/>
              </w:rPr>
              <w:t xml:space="preserve"> устройствами заявителя электрической энергии (мощности).</w:t>
            </w:r>
            <w:proofErr w:type="gramEnd"/>
          </w:p>
        </w:tc>
        <w:tc>
          <w:tcPr>
            <w:tcW w:w="2385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color w:val="000000"/>
                <w:sz w:val="21"/>
                <w:szCs w:val="21"/>
                <w:lang w:eastAsia="ru-RU" w:bidi="ru-RU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tcW w:w="2528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1.8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4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 соотв. с условиями типового договора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 16, 18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2D06FA">
        <w:tc>
          <w:tcPr>
            <w:tcW w:w="664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5" w:type="dxa"/>
            <w:vMerge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1.9. </w:t>
            </w:r>
            <w:proofErr w:type="gramStart"/>
            <w:r w:rsidRPr="00FE0FBE">
              <w:rPr>
                <w:rStyle w:val="2105pt"/>
              </w:rPr>
              <w:t>Выполнение</w:t>
            </w:r>
            <w:proofErr w:type="gramEnd"/>
            <w:r w:rsidRPr="00FE0FBE">
              <w:rPr>
                <w:rStyle w:val="2105pt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4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 соотв. с условиями типового договора</w:t>
            </w:r>
          </w:p>
        </w:tc>
        <w:tc>
          <w:tcPr>
            <w:tcW w:w="2435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п.108, 109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2D06FA">
        <w:tc>
          <w:tcPr>
            <w:tcW w:w="664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Оформление документов об осуществлении технологического присоединения.</w:t>
            </w:r>
          </w:p>
        </w:tc>
        <w:tc>
          <w:tcPr>
            <w:tcW w:w="2385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  <w:vAlign w:val="center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1.10. Размещение в личном кабинете </w:t>
            </w:r>
            <w:proofErr w:type="gramStart"/>
            <w:r w:rsidRPr="00FE0FBE">
              <w:rPr>
                <w:rStyle w:val="2105pt"/>
              </w:rPr>
              <w:t>потребителя акта допуска прибора учета</w:t>
            </w:r>
            <w:proofErr w:type="gramEnd"/>
            <w:r w:rsidRPr="00FE0FBE">
              <w:rPr>
                <w:rStyle w:val="2105pt"/>
              </w:rPr>
              <w:t xml:space="preserve"> в эксплуатацию</w:t>
            </w:r>
          </w:p>
        </w:tc>
        <w:tc>
          <w:tcPr>
            <w:tcW w:w="2472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8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2435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Style w:val="2105pt"/>
                <w:rFonts w:eastAsiaTheme="minorHAnsi"/>
              </w:rPr>
              <w:t xml:space="preserve">П.109 </w:t>
            </w:r>
            <w:r w:rsidR="00AF67F7" w:rsidRPr="00FE0FBE">
              <w:rPr>
                <w:rStyle w:val="2105pt"/>
                <w:rFonts w:eastAsiaTheme="minorHAnsi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D6489" w:rsidRPr="00FE0FBE" w:rsidTr="00ED6489">
        <w:tc>
          <w:tcPr>
            <w:tcW w:w="664" w:type="dxa"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bottom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</w:tcPr>
          <w:p w:rsidR="00ED6489" w:rsidRPr="00FE0FBE" w:rsidRDefault="00ED6489" w:rsidP="00ED6489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1.10</w:t>
            </w:r>
            <w:r w:rsidRPr="00FE0FBE">
              <w:rPr>
                <w:rStyle w:val="2105pt"/>
              </w:rPr>
              <w:t>.</w:t>
            </w:r>
            <w:r>
              <w:rPr>
                <w:rStyle w:val="2105pt"/>
              </w:rPr>
              <w:t>1</w:t>
            </w:r>
            <w:r w:rsidRPr="00FE0FBE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Уведомление заявителя о размещении в личном кабинете акта допуска прибора учета в эксплуатацию</w:t>
            </w:r>
          </w:p>
        </w:tc>
        <w:tc>
          <w:tcPr>
            <w:tcW w:w="2472" w:type="dxa"/>
            <w:vMerge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1928" w:type="dxa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В течение 1 рабочего дня со дня размещения в личном кабинете</w:t>
            </w:r>
          </w:p>
        </w:tc>
        <w:tc>
          <w:tcPr>
            <w:tcW w:w="2435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>
              <w:rPr>
                <w:rStyle w:val="2105pt"/>
              </w:rPr>
              <w:t>п. 109</w:t>
            </w:r>
            <w:r w:rsidRPr="00FE0FBE">
              <w:rPr>
                <w:rStyle w:val="2105pt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  <w:tr w:rsidR="00ED6489" w:rsidRPr="00FE0FBE" w:rsidTr="002D06FA">
        <w:tc>
          <w:tcPr>
            <w:tcW w:w="664" w:type="dxa"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bottom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  <w:vAlign w:val="bottom"/>
          </w:tcPr>
          <w:p w:rsidR="00ED6489" w:rsidRPr="00FE0FBE" w:rsidRDefault="00ED6489" w:rsidP="00ED6489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1.10.2</w:t>
            </w:r>
            <w:r w:rsidRPr="00FE0FBE">
              <w:rPr>
                <w:rStyle w:val="2105pt"/>
              </w:rPr>
              <w:t xml:space="preserve">. </w:t>
            </w:r>
            <w:r>
              <w:rPr>
                <w:rStyle w:val="2105pt"/>
              </w:rPr>
              <w:t xml:space="preserve">Направление в адрес гарантирующего </w:t>
            </w:r>
            <w:proofErr w:type="gramStart"/>
            <w:r>
              <w:rPr>
                <w:rStyle w:val="2105pt"/>
              </w:rPr>
              <w:t>поставщика</w:t>
            </w:r>
            <w:r>
              <w:rPr>
                <w:rStyle w:val="2105pt"/>
              </w:rPr>
              <w:t xml:space="preserve"> акта допуска прибора учета</w:t>
            </w:r>
            <w:proofErr w:type="gramEnd"/>
            <w:r>
              <w:rPr>
                <w:rStyle w:val="2105pt"/>
              </w:rPr>
              <w:t xml:space="preserve"> в эксплуатацию</w:t>
            </w:r>
            <w:r>
              <w:rPr>
                <w:rStyle w:val="2105pt"/>
              </w:rPr>
              <w:t xml:space="preserve"> заявителя</w:t>
            </w:r>
          </w:p>
        </w:tc>
        <w:tc>
          <w:tcPr>
            <w:tcW w:w="2472" w:type="dxa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1928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В течение 2 рабочего дня со дня размещения в личном кабинете</w:t>
            </w:r>
            <w:r w:rsidR="00672EF1">
              <w:rPr>
                <w:rStyle w:val="2105pt"/>
              </w:rPr>
              <w:t xml:space="preserve"> заявителя</w:t>
            </w:r>
          </w:p>
        </w:tc>
        <w:tc>
          <w:tcPr>
            <w:tcW w:w="2435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>
              <w:rPr>
                <w:rStyle w:val="2105pt"/>
              </w:rPr>
              <w:t>п. 109</w:t>
            </w:r>
            <w:r w:rsidRPr="00FE0FBE">
              <w:rPr>
                <w:rStyle w:val="2105pt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  <w:tr w:rsidR="00ED6489" w:rsidRPr="00FE0FBE" w:rsidTr="002D06FA">
        <w:tc>
          <w:tcPr>
            <w:tcW w:w="664" w:type="dxa"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bottom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  <w:vAlign w:val="bottom"/>
          </w:tcPr>
          <w:p w:rsidR="00ED6489" w:rsidRPr="00FE0FBE" w:rsidRDefault="00ED6489" w:rsidP="00672EF1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1.11. Составление и размещение в личном кабинете </w:t>
            </w:r>
            <w:r w:rsidR="00672EF1">
              <w:rPr>
                <w:rStyle w:val="2105pt"/>
              </w:rPr>
              <w:t>заявителя</w:t>
            </w:r>
            <w:r w:rsidRPr="00FE0FBE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уведомления об обеспечении возможности присоединения к электрическим сетям</w:t>
            </w:r>
          </w:p>
        </w:tc>
        <w:tc>
          <w:tcPr>
            <w:tcW w:w="2472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1928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35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п.110 Правил технологического присоединения, утв. Постановлением Российской Федерации от 27.12.2004 № 861</w:t>
            </w:r>
          </w:p>
        </w:tc>
      </w:tr>
      <w:tr w:rsidR="00ED6489" w:rsidRPr="00FE0FBE" w:rsidTr="002D06FA">
        <w:tc>
          <w:tcPr>
            <w:tcW w:w="664" w:type="dxa"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ED6489" w:rsidRPr="00FE0FBE" w:rsidRDefault="00ED6489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bottom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1.11.1. Уведомление заявителя о составлении и направлении в Личный кабинет </w:t>
            </w:r>
            <w:r>
              <w:rPr>
                <w:rStyle w:val="2105pt"/>
              </w:rPr>
              <w:t>уведомления об обеспечении возможности присоединения к электрическим сетям</w:t>
            </w:r>
          </w:p>
        </w:tc>
        <w:tc>
          <w:tcPr>
            <w:tcW w:w="2472" w:type="dxa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1928" w:type="dxa"/>
          </w:tcPr>
          <w:p w:rsidR="00ED6489" w:rsidRPr="00FE0FBE" w:rsidRDefault="00ED6489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435" w:type="dxa"/>
          </w:tcPr>
          <w:p w:rsidR="00ED6489" w:rsidRPr="00FE0FBE" w:rsidRDefault="00ED6489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п.110 Правил технологического присоединения, утв. Постановлением Российской Федерации от 27.12.2004 № 861</w:t>
            </w:r>
          </w:p>
        </w:tc>
      </w:tr>
      <w:tr w:rsidR="00672EF1" w:rsidRPr="00FE0FBE" w:rsidTr="00D14AEF">
        <w:tc>
          <w:tcPr>
            <w:tcW w:w="664" w:type="dxa"/>
          </w:tcPr>
          <w:p w:rsidR="00672EF1" w:rsidRPr="00FE0FBE" w:rsidRDefault="00672EF1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</w:tcPr>
          <w:p w:rsidR="00672EF1" w:rsidRPr="00FE0FBE" w:rsidRDefault="00672EF1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bottom"/>
          </w:tcPr>
          <w:p w:rsidR="00672EF1" w:rsidRPr="00FE0FBE" w:rsidRDefault="00672EF1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28" w:type="dxa"/>
            <w:vAlign w:val="bottom"/>
          </w:tcPr>
          <w:p w:rsidR="00672EF1" w:rsidRPr="00FE0FBE" w:rsidRDefault="00672EF1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1.11.2.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  <w:r>
              <w:rPr>
                <w:rStyle w:val="2105pt"/>
              </w:rPr>
              <w:t xml:space="preserve"> (уведомления об обеспечении возможности присоединения к электрическим сетям)</w:t>
            </w:r>
          </w:p>
        </w:tc>
        <w:tc>
          <w:tcPr>
            <w:tcW w:w="2472" w:type="dxa"/>
          </w:tcPr>
          <w:p w:rsidR="00672EF1" w:rsidRPr="00FE0FBE" w:rsidRDefault="00672EF1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72EF1" w:rsidRPr="00FE0FBE" w:rsidRDefault="00672EF1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В течение 2 рабочего дня со дня размещения в личном кабинете заявителя.</w:t>
            </w:r>
          </w:p>
        </w:tc>
        <w:tc>
          <w:tcPr>
            <w:tcW w:w="2435" w:type="dxa"/>
          </w:tcPr>
          <w:p w:rsidR="00672EF1" w:rsidRPr="00FE0FBE" w:rsidRDefault="00672EF1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п.111 Правил технологического присоединения, утв. Постановлением Российской Федерации от 27.12.2004 № 861</w:t>
            </w:r>
          </w:p>
        </w:tc>
      </w:tr>
    </w:tbl>
    <w:p w:rsidR="00E47E45" w:rsidRDefault="00E47E45" w:rsidP="00B301AD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E47E45" w:rsidSect="00240ED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1"/>
    <w:multiLevelType w:val="multilevel"/>
    <w:tmpl w:val="C3C4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47F"/>
    <w:multiLevelType w:val="multilevel"/>
    <w:tmpl w:val="5DC0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D76EC"/>
    <w:multiLevelType w:val="multilevel"/>
    <w:tmpl w:val="095C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2BC2"/>
    <w:rsid w:val="00036508"/>
    <w:rsid w:val="000B26B3"/>
    <w:rsid w:val="00240ED7"/>
    <w:rsid w:val="00241860"/>
    <w:rsid w:val="002669C5"/>
    <w:rsid w:val="002841B4"/>
    <w:rsid w:val="002D06FA"/>
    <w:rsid w:val="0045798B"/>
    <w:rsid w:val="00481970"/>
    <w:rsid w:val="00485B82"/>
    <w:rsid w:val="004C47C5"/>
    <w:rsid w:val="005042C8"/>
    <w:rsid w:val="00567C80"/>
    <w:rsid w:val="005C2086"/>
    <w:rsid w:val="005F7DC3"/>
    <w:rsid w:val="006259B1"/>
    <w:rsid w:val="00672EF1"/>
    <w:rsid w:val="00694580"/>
    <w:rsid w:val="00697396"/>
    <w:rsid w:val="00834207"/>
    <w:rsid w:val="008C1BF3"/>
    <w:rsid w:val="008E24C5"/>
    <w:rsid w:val="00AD3B59"/>
    <w:rsid w:val="00AF67F7"/>
    <w:rsid w:val="00B24E69"/>
    <w:rsid w:val="00B301AD"/>
    <w:rsid w:val="00B613D0"/>
    <w:rsid w:val="00B653BA"/>
    <w:rsid w:val="00C6360D"/>
    <w:rsid w:val="00CD7A32"/>
    <w:rsid w:val="00CF6A51"/>
    <w:rsid w:val="00D17F34"/>
    <w:rsid w:val="00D40AD3"/>
    <w:rsid w:val="00D874BA"/>
    <w:rsid w:val="00DE153B"/>
    <w:rsid w:val="00E47E45"/>
    <w:rsid w:val="00EA4C86"/>
    <w:rsid w:val="00ED6489"/>
    <w:rsid w:val="00F02999"/>
    <w:rsid w:val="00F11231"/>
    <w:rsid w:val="00F251C7"/>
    <w:rsid w:val="00FE0FBE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14638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2022-09-15T06:07:00Z</dcterms:created>
  <dcterms:modified xsi:type="dcterms:W3CDTF">2022-09-15T06:07:00Z</dcterms:modified>
</cp:coreProperties>
</file>